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4203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b/>
          <w:bCs/>
          <w:kern w:val="2"/>
          <w:sz w:val="24"/>
          <w:szCs w:val="24"/>
          <w:u w:val="single"/>
          <w:lang w:val="ru-RU" w:eastAsia="zh-CN" w:bidi="hi-IN"/>
        </w:rPr>
      </w:pPr>
      <w:bookmarkStart w:id="0" w:name="2956517280"/>
      <w:r w:rsidRPr="00C23758">
        <w:rPr>
          <w:rFonts w:ascii="Times New Roman" w:eastAsia="Noto Serif CJK SC" w:hAnsi="Times New Roman" w:cs="Lohit Devanagari"/>
          <w:b/>
          <w:bCs/>
          <w:color w:val="000000"/>
          <w:kern w:val="2"/>
          <w:sz w:val="24"/>
          <w:szCs w:val="24"/>
          <w:u w:val="single"/>
          <w:lang w:val="ru-RU" w:eastAsia="zh-CN" w:bidi="hi-IN"/>
        </w:rPr>
        <w:t>11. 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14:paraId="1DCC2FEE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" w:name="2956517281"/>
      <w:bookmarkEnd w:id="0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орфанных</w:t>
      </w:r>
      <w:proofErr w:type="spellEnd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препаратов, включенных в </w:t>
      </w:r>
      <w:hyperlink r:id="rId4">
        <w:r w:rsidRPr="00C23758">
          <w:rPr>
            <w:rFonts w:ascii="Times New Roman" w:eastAsia="Noto Serif CJK SC" w:hAnsi="Times New Roman" w:cs="Lohit Devanagari"/>
            <w:color w:val="007FCC"/>
            <w:kern w:val="2"/>
            <w:sz w:val="24"/>
            <w:szCs w:val="24"/>
            <w:u w:val="single"/>
            <w:lang w:val="ru-RU" w:eastAsia="zh-CN" w:bidi="hi-IN"/>
          </w:rPr>
          <w:t>приказ</w:t>
        </w:r>
      </w:hyperlink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Министра здравоохранения Республики Казахстан от 20 октября 2020 года № ҚР ДСМ - 142/2020 «Об утверждении перечня </w:t>
      </w:r>
      <w:proofErr w:type="spellStart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орфанных</w:t>
      </w:r>
      <w:proofErr w:type="spellEnd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заболеваний и лекарственных средств для их лечения (</w:t>
      </w:r>
      <w:proofErr w:type="spellStart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орфанных</w:t>
      </w:r>
      <w:proofErr w:type="spellEnd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)»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14:paraId="3D5771D6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" w:name="2956517282"/>
      <w:bookmarkEnd w:id="1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14:paraId="5EB6F74E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3" w:name="2956517283"/>
      <w:bookmarkEnd w:id="2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2) соответствие характеристики или технической спецификации условиям объявления или приглашения на закуп.</w:t>
      </w:r>
    </w:p>
    <w:p w14:paraId="2C3A6000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4" w:name="2956517284"/>
      <w:bookmarkEnd w:id="3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14:paraId="5681B2B8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5" w:name="2956517285"/>
      <w:bookmarkEnd w:id="4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3) </w:t>
      </w:r>
      <w:proofErr w:type="spellStart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непревышение</w:t>
      </w:r>
      <w:proofErr w:type="spellEnd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14:paraId="48B22B10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6" w:name="2956517286"/>
      <w:bookmarkEnd w:id="5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4) хранение и транспортировка в условиях, обеспечивающих сохранение их безопасности, эффективности и качества, в соответствии с </w:t>
      </w:r>
      <w:hyperlink r:id="rId5">
        <w:r w:rsidRPr="00C23758">
          <w:rPr>
            <w:rFonts w:ascii="Times New Roman" w:eastAsia="Noto Serif CJK SC" w:hAnsi="Times New Roman" w:cs="Lohit Devanagari"/>
            <w:color w:val="007FCC"/>
            <w:kern w:val="2"/>
            <w:sz w:val="24"/>
            <w:szCs w:val="24"/>
            <w:u w:val="single"/>
            <w:lang w:val="ru-RU" w:eastAsia="zh-CN" w:bidi="hi-IN"/>
          </w:rPr>
          <w:t>приказом</w:t>
        </w:r>
      </w:hyperlink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Министра здравоохранения Республики Казахстан от 16 февраля 2021 года № ҚР ДСМ-19 «Об утверждении правил хранения и транспортировки лекарственных средств и медицинских изделий» (зарегистрирован в Реестре государственной регистрации нормативных правовых актов под № 22230);</w:t>
      </w:r>
    </w:p>
    <w:p w14:paraId="762AE611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7" w:name="2956517287"/>
      <w:bookmarkEnd w:id="6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14:paraId="66C91189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8" w:name="2956517288"/>
      <w:bookmarkEnd w:id="7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14:paraId="4AB29C3F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9" w:name="2956517289"/>
      <w:bookmarkEnd w:id="8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пятидесяти процентов от указанного срока годности на упаковке (при сроке годности менее двух лет);</w:t>
      </w:r>
    </w:p>
    <w:p w14:paraId="4120F0CF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0" w:name="2956517290"/>
      <w:bookmarkEnd w:id="9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двенадцати месяцев от указанного срока годности на упаковке (при сроке годности два года и более);</w:t>
      </w:r>
    </w:p>
    <w:p w14:paraId="27C2F976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1" w:name="2956517291"/>
      <w:bookmarkEnd w:id="10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lastRenderedPageBreak/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14:paraId="7DE8E98C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2" w:name="2956517292"/>
      <w:bookmarkEnd w:id="11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14:paraId="6B549D36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3" w:name="2956517293"/>
      <w:bookmarkEnd w:id="12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14:paraId="28201C7A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4" w:name="2956517294"/>
      <w:bookmarkEnd w:id="13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14:paraId="72F13189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5" w:name="2956517295"/>
      <w:bookmarkEnd w:id="14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тридцати процентов от срока годности, указанного на упаковке (при сроке годности менее двух лет);</w:t>
      </w:r>
    </w:p>
    <w:p w14:paraId="2A063DF8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6" w:name="2956517296"/>
      <w:bookmarkEnd w:id="15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восьми месяцев от указанного срока годности на упаковке (при сроке годности два года и более);</w:t>
      </w:r>
    </w:p>
    <w:p w14:paraId="4C842DD5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7" w:name="2956517297"/>
      <w:bookmarkEnd w:id="16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9) срок годности вакцин на дату поставки единым дистрибьютором заказчику составляет:</w:t>
      </w:r>
    </w:p>
    <w:p w14:paraId="05DF1CF3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8" w:name="2956517298"/>
      <w:bookmarkEnd w:id="17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сорока процентов от указанного срока годности на упаковке (при сроке годности менее двух лет);</w:t>
      </w:r>
    </w:p>
    <w:p w14:paraId="5B663E36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9" w:name="2956517299"/>
      <w:bookmarkEnd w:id="18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 менее десяти месяцев от указанного срока годности на упаковке (при сроке годности два года и более);</w:t>
      </w:r>
    </w:p>
    <w:p w14:paraId="7C6D96B3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0" w:name="2956517300"/>
      <w:bookmarkEnd w:id="19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14:paraId="133B3F40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1" w:name="2956517301"/>
      <w:bookmarkEnd w:id="20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11) новизна медицинской техники, ее </w:t>
      </w:r>
      <w:proofErr w:type="spellStart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неиспользованность</w:t>
      </w:r>
      <w:proofErr w:type="spellEnd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и производство в период двадцати четырех месяцев, предшествующих моменту поставки;</w:t>
      </w:r>
    </w:p>
    <w:p w14:paraId="62F63537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2" w:name="2956517302"/>
      <w:bookmarkEnd w:id="21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14:paraId="1A647D50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3" w:name="2956517303"/>
      <w:bookmarkEnd w:id="22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14:paraId="1C2822FB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4" w:name="2956517304"/>
      <w:bookmarkEnd w:id="23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13) соблюдение количества, качества и сроков поставки или оказания фармацевтической услуги по условиям договора.</w:t>
      </w:r>
    </w:p>
    <w:p w14:paraId="4AD2C482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5" w:name="2956517305"/>
      <w:bookmarkEnd w:id="24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12. Условия, предусмотренные подпунктами 4), 5), 6), 7), 8), 9), 10), 11), 12) и 13) </w:t>
      </w:r>
      <w:hyperlink r:id="rId6">
        <w:r w:rsidRPr="00C23758">
          <w:rPr>
            <w:rFonts w:ascii="Times New Roman" w:eastAsia="Noto Serif CJK SC" w:hAnsi="Times New Roman" w:cs="Lohit Devanagari"/>
            <w:color w:val="007FCC"/>
            <w:kern w:val="2"/>
            <w:sz w:val="24"/>
            <w:szCs w:val="24"/>
            <w:u w:val="single"/>
            <w:lang w:val="ru-RU" w:eastAsia="zh-CN" w:bidi="hi-IN"/>
          </w:rPr>
          <w:t>пункта 11</w:t>
        </w:r>
      </w:hyperlink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настоящих Правил, подтверждаются поставщиком при исполнении договора поставки или закупа.</w:t>
      </w:r>
    </w:p>
    <w:p w14:paraId="12C99A74" w14:textId="77777777" w:rsidR="00C23758" w:rsidRPr="00C23758" w:rsidRDefault="00C23758" w:rsidP="00C23758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6" w:name="2956517306"/>
      <w:bookmarkEnd w:id="25"/>
      <w:r w:rsidRPr="00C23758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13. Заказчик, организатор закупа, единый дистрибьютор не устанавливают к лекарственным средствам и медицинским изделиям условия, не предусмотренные настоящими Правилами.</w:t>
      </w:r>
    </w:p>
    <w:bookmarkEnd w:id="26"/>
    <w:p w14:paraId="72265B2D" w14:textId="77777777" w:rsidR="00A17979" w:rsidRPr="00C23758" w:rsidRDefault="00A17979">
      <w:pPr>
        <w:rPr>
          <w:lang w:val="ru-RU"/>
        </w:rPr>
      </w:pPr>
    </w:p>
    <w:sectPr w:rsidR="00A17979" w:rsidRPr="00C2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38"/>
    <w:rsid w:val="00843538"/>
    <w:rsid w:val="00A17979"/>
    <w:rsid w:val="00C2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C799A-1BAE-4DE6-9295-990009B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stprofi.com/home/section/2956517280" TargetMode="External"/><Relationship Id="rId5" Type="http://schemas.openxmlformats.org/officeDocument/2006/relationships/hyperlink" Target="https://bestprofi.com/home/section/2496643206" TargetMode="External"/><Relationship Id="rId4" Type="http://schemas.openxmlformats.org/officeDocument/2006/relationships/hyperlink" Target="https://bestprofi.com/home/section/2426495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Дюсембекова Зарина</dc:creator>
  <cp:keywords/>
  <dc:description/>
  <cp:lastModifiedBy>Дюсембекова Зарина</cp:lastModifiedBy>
  <cp:revision>2</cp:revision>
  <dcterms:created xsi:type="dcterms:W3CDTF">2023-11-27T10:18:00Z</dcterms:created>
  <dcterms:modified xsi:type="dcterms:W3CDTF">2023-11-27T10:19:00Z</dcterms:modified>
</cp:coreProperties>
</file>